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162</w:t>
      </w:r>
    </w:p>
    <w:p>
      <w:r>
        <w:t>Bundesgericht (BGE), 2004-01-19, FR</w:t>
      </w:r>
    </w:p>
    <w:p>
      <w:r>
        <w:rPr>
          <w:b/>
        </w:rPr>
        <w:t xml:space="preserve">Quelle: </w:t>
      </w:r>
      <w:r>
        <w:t>https://mcp.opencaselaw.ch/entscheid/bge_130 II 162</w:t>
      </w:r>
    </w:p>
    <w:p>
      <w:r>
        <w:t>FR: ATF 130 II 162</w:t>
      </w:r>
    </w:p>
    <w:p>
      <w:r>
        <w:t>IT: DTF 130 II 162</w:t>
      </w:r>
    </w:p>
    <w:p>
      <w:pPr>
        <w:pStyle w:val="Heading2"/>
      </w:pPr>
      <w:r>
        <w:t>Regeste</w:t>
      </w:r>
    </w:p>
    <w:p>
      <w:r>
        <w:t>Regeste Rechtshilfe in Strafsachen; Beschwerderecht gegen die Übermittlung der von einem Anwalt herausgegebenen Schriftstücke; Art. 80h lit. b IRSG, Art. 9a lit. a IRSV. Die Befugnis zur Anfechtung der Übermittlung von Schriftstücken - die sich ausschliesslich auf ein Konto des Anwaltsbüros beziehen - steht allein dem Anwalt als Inhaber der beschlagnahmten Dokumente, nicht dagegen seinem Klienten zu (Präzisierung der Rechtsprechung; E. 1).</w:t>
      </w:r>
    </w:p>
    <w:p>
      <w:pPr>
        <w:pStyle w:val="Heading2"/>
      </w:pPr>
      <w:r>
        <w:t>Erwägungen</w:t>
      </w:r>
    </w:p>
    <w:p>
      <w:r>
        <w:rPr>
          <w:b/>
        </w:rPr>
        <w:t>E. 1</w:t>
      </w:r>
    </w:p>
    <w:p>
      <w:r>
        <w:t>Interjeté dans le délai et les formes utiles contre une décision de clôture confirmée en dernière instance cantonale, le recours de droit administratif est en soi recevable (art. 80e let. a et art. 80f al. 1 de la loi fédérale du 20 mars 1981 sur l'entraide internationale en matière pénale [EIMP; RS 351.1]). Il y a lieu toutefois de s'interroger sur la qualité pour agir du recourant. La question a été laissée indécise par la cour cantonale, mais l'Office fédéral de la justice (OFJ) préconise l'irrecevabilité du recours en relevant que seul le détenteur des documents saisis, en l'occurrence l'avocat, aurait qualité pour s'opposer aux mesures d'entraide.</w:t>
      </w:r>
    </w:p>
    <w:p>
      <w:r>
        <w:rPr>
          <w:b/>
        </w:rPr>
        <w:t>E. 1.1</w:t>
      </w:r>
    </w:p>
    <w:p>
      <w:r>
        <w:t>Selon l' art. 80h let. b EIMP , la qualité pour agir contre une mesure d'entraide judiciaire est reconnue à celui qui est BGE 130 II 162 S. 164 personnel lement et directement touché. La personne visée par la procédure pénale étrangère peut recourir aux mêmes conditions ( art. 21 al. 3 EIMP ). La jurisprudence reconnaît ainsi notamment la qualité pour recourir au titulaire d'un compte bancaire dont les pièces sont saisies ( ATF 118 Ib 547 consid. 1d et les arrêts cités), et à la personne qui doit se soumettre personnellement à une perquisition ou une saisie ( ATF 118 Ib 442 consid. 2c - concernant la saisie de documents en main d'une banque -, ATF 121 II 38 - remise du dossier d'une procédure civile à laquelle l'intéressé est partie). L'art. 9a de l'ordonnance du 24 février 1982 sur l'entraide internationale en matière pénale (OEIMP; RS 351.11) précise que sont réputés personnellement et directement touchés, au sens des art. 21 al. 3 et 80h EIMP , le titulaire du compte en cas d'informations sur celui-ci, et le propriétaire ou le locataire, en cas de perquisition (let. b). La jurisprudence constante dénie en revanche la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ainsi qu'au témoin, dans la mesure où il n'est pas amené à fournir des informations sur sa propre personne ( ATF 126 II 258 consid. 2d/bb p. 261; pour un résumé de la jurisprudence relative à la qualité pour recourir, cf. ATF 122 II 130 ).</w:t>
      </w:r>
    </w:p>
    <w:p>
      <w:r>
        <w:rPr>
          <w:b/>
        </w:rPr>
        <w:t>E. 1.2</w:t>
      </w:r>
    </w:p>
    <w:p>
      <w:r>
        <w:t>Sur le vu de ces principes, le recourant n'apparaît pas légitimé à s'opposer à la transmission des pièces remises par l'avocat à propos du transfert d'un million de FF. Pour l'essentiel, il s'agit de pièces relatives à un compte client détenu par l'étude de l'avocat. La seule pièce où figure le nom du recourant est un reçu du 9 février 1994 portant sur 248'990 fr., soit apparemment la contre-valeur d'un million de FF. L'ensemble des documents se trouvait en possession de l'avocat, lequel les détenait en son propre nom.</w:t>
      </w:r>
    </w:p>
    <w:p>
      <w:r>
        <w:rPr>
          <w:b/>
        </w:rPr>
        <w:t>E. 1.3</w:t>
      </w:r>
    </w:p>
    <w:p>
      <w:r>
        <w:t>Le recourant évoque la jurisprudence récente selon laquelle une banque n'est plus habilitée à recourir lorsqu'elle doit fournir des renseignements sur ses clients, et non sur ses propres affaires ( ATF 128 II 211 ). Il en déduit que l'avocat appelé à fournir des renseignements ou documents qu'il détient à propos d'un client n'aurait pas, lui non plus, qualité pour agir. Le client devrait ainsi être admis à agir, faute de quoi plus personne ne pourrait contester une décision de clôture. BGE 130 II 162 S. 165 Pour l'essentiel, la jurisprudence invoquée est fondée sur l'adoption de l' art. 9a let. a OEIMP , qui considère comme seul touché par la mesure d'entraide le titulaire du compte bancaire visé ( ATF 128 II 211 consid. 2.4 p. 220). Elle est au surplus limitée aux cas dans lesquels la banque n'est pas touchée dans la conduite de ses propres affaires, la qualité pour agir lui étant toujours reconnue lorsqu'elle est, par exemple, elle-même titulaire d'un compte soumis aux investigations ( ATF 128 II 211 consid. 2.4 p. 219). Comme le relève l'OFJ, l'application de la jurisprudence précitée aux avocats et fiduciaires présenterait plusieurs difficultés, liées notamment à la notification des décisions (contrairement au titulaire d'un compte bancaire dont l'identité ressort des documents d'ouverture, l'identité du client de l'avocat ou du fiduciaire n'apparaît pas forcément d'emblée). La question n'a toutefois pas à être résolue définitivement dans le cas présent. En effet, les documents remis par l'avocat se rapportent essentiellement à un compte détenu et géré par l'étude. Même s'il s'agit de montants détenus pour le compte d'un client, leur gestion constitue une activité propre de l'avocat et ce dernier aurait pu recourir en se fondant sur l' art. 9a let. a OEIMP . On trouve d'ailleurs aussi, parmi les documents, une facture d'honoraires et des notes manuscrites révélant l'activité de l'avocat. Il n'y a pas lieu, dans un tel cas, de déroger à la règle selon laquelle seul le détenteur des documents a qualité pour s'opposer à leur transmission. Contrairement à ce que soutient le recourant, le simple fait que son identité figure sur le reçu du 9 février 1994, et la possibilité d'une révélation de son identité à l'autorité requérante, ne constituent pas des motifs justifiant de lui reconnaître la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